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7DE3A">
      <w:pPr>
        <w:jc w:val="center"/>
        <w:rPr>
          <w:b/>
          <w:highlight w:val="none"/>
          <w:lang w:val="bg-BG"/>
        </w:rPr>
      </w:pPr>
      <w:r>
        <w:rPr>
          <w:b/>
          <w:highlight w:val="none"/>
          <w:lang w:val="bg-BG"/>
        </w:rPr>
        <w:t>ПРОЕКТ</w:t>
      </w:r>
    </w:p>
    <w:p w14:paraId="65FC87A6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</w:pPr>
      <w:r>
        <w:rPr>
          <w:b/>
          <w:highlight w:val="none"/>
          <w:lang w:val="bg-BG"/>
        </w:rPr>
        <w:t>На</w:t>
      </w:r>
      <w:r>
        <w:rPr>
          <w:rFonts w:hint="default"/>
          <w:b/>
          <w:highlight w:val="none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Наредба </w:t>
      </w:r>
      <w:r>
        <w:rPr>
          <w:rStyle w:val="10"/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</w:p>
    <w:p w14:paraId="2881745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  <w:t>§1. Изменя се и се допълва чл. 71, както следва:</w:t>
      </w:r>
    </w:p>
    <w:p w14:paraId="61687956">
      <w:pPr>
        <w:pStyle w:val="16"/>
        <w:ind w:firstLine="567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Чл. 71. (1)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Наказва се с глоба от 50лв./25,57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 до 300 лв./153.40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., ако деянието не съставлява престъпление, физическо лице, което възпрепятства изпълнението на служебни задължения на длъжностните лица, назначени от кмета на общината по Закона за горите, подзаконовите актове по прилагането му и тази Наредба. </w:t>
      </w:r>
    </w:p>
    <w:p w14:paraId="081C7722">
      <w:pPr>
        <w:pStyle w:val="16"/>
        <w:ind w:firstLine="567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(2)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Когато нарушението по ал. 1 е извършено от юридическо лице или едноличен търговец, се налага имуществена санкция в размер от 100лв./51.13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. до 500 лв./255.66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</w:t>
      </w:r>
    </w:p>
    <w:p w14:paraId="48E6FFC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  <w:t>§2. Изменя се и се допълва чл. 72, както следва:</w:t>
      </w:r>
    </w:p>
    <w:p w14:paraId="17C683A8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7"/>
        <w:textAlignment w:val="auto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>Чл. 72.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 (1) Наказва се с глоба от 50лв./25,57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 до 500лв.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/255.66eur.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, ако не е предвидено по-тежко наказание, физическо лице, което:</w:t>
      </w:r>
    </w:p>
    <w:p w14:paraId="6A0FC13F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7"/>
        <w:textAlignment w:val="auto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1. не изпълни разпореждане на компетентен орган, издадено в рамките на дадените му със закона правомощия;</w:t>
      </w:r>
    </w:p>
    <w:p w14:paraId="1103B1E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7"/>
        <w:textAlignment w:val="auto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2. не осигури достъп, не представи необходимите документи и данни на контролните органи.</w:t>
      </w:r>
    </w:p>
    <w:p w14:paraId="641662E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7"/>
        <w:textAlignment w:val="auto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(2) Наказва се с глоба от 200лв./102,26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 до 1000лв./511,32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., ако не е предвидено по-тежко наказание, физическо лице, което не извърши възстановителни работи и не отстрани за своя сметка нанесените повреди на чужд поземлен имот в горските територии.</w:t>
      </w:r>
    </w:p>
    <w:p w14:paraId="3D5A35AF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  <w:lang w:val="bg-BG"/>
        </w:rPr>
        <w:t>§3. Изменя се и се допълва чл. 73, ал. 1, както следва:</w:t>
      </w:r>
    </w:p>
    <w:p w14:paraId="7CFA949B">
      <w:pPr>
        <w:pStyle w:val="17"/>
        <w:ind w:firstLine="567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>Чл. 73.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 (1) Наказват се с глоба от 200лв./102,26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 до 2000 лв./1022.63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., ако деянието не съставлява престъпление, физически лица, които извършат или наредят да бъдат извършени следните дейности:</w:t>
      </w:r>
    </w:p>
    <w:p w14:paraId="5DD62FDD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4"/>
          <w:szCs w:val="24"/>
          <w:lang w:val="bg-BG"/>
        </w:rPr>
        <w:t>§4. Изменя се и се допълва чл. 74, както следва:</w:t>
      </w:r>
    </w:p>
    <w:p w14:paraId="606156F1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 w:ascii="Times New Roman" w:hAnsi="Times New Roman" w:cs="Times New Roman"/>
          <w:b w:val="0"/>
          <w:bCs/>
          <w:i/>
          <w:iCs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 w:val="0"/>
          <w:i/>
          <w:iCs/>
          <w:color w:val="auto"/>
          <w:sz w:val="24"/>
          <w:szCs w:val="24"/>
          <w:lang w:val="bg-BG"/>
        </w:rPr>
        <w:t>Чл. 74.</w:t>
      </w:r>
      <w:r>
        <w:rPr>
          <w:rFonts w:hint="default" w:ascii="Times New Roman" w:hAnsi="Times New Roman" w:cs="Times New Roman"/>
          <w:b w:val="0"/>
          <w:bCs/>
          <w:i/>
          <w:iCs/>
          <w:color w:val="auto"/>
          <w:sz w:val="24"/>
          <w:szCs w:val="24"/>
          <w:lang w:val="bg-BG"/>
        </w:rPr>
        <w:t xml:space="preserve"> За други нарушения на този закон и на подзаконовите актове по прилагането му наказанието е глоба от 50лв./25,57eur до 500лв./255.66 eur., съответно имуществена санкция в размер от 100лв./51.13 eur. до 1000 лв./511.32 eur., ако не е предвидено по-тежко наказание.</w:t>
      </w:r>
    </w:p>
    <w:p w14:paraId="60ACBB3B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color w:val="auto"/>
          <w:sz w:val="24"/>
          <w:szCs w:val="24"/>
          <w:lang w:val="bg-BG"/>
        </w:rPr>
        <w:t>§5. Изменя се и се допълва чл. 75, както следва:</w:t>
      </w:r>
    </w:p>
    <w:p w14:paraId="140D0727">
      <w:pPr>
        <w:pStyle w:val="16"/>
        <w:ind w:firstLine="567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Чл. 75. (1)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Наказва се с глоба от 50лв./25,57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>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 до 3000 лв./1533.95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., ако не подлежи на по-тежко наказание, физическо лице, което в нарушение на този закон и на подзаконовите актове по прилагането му сече, извозва, товари, транспортира, разтоварва, придобива, съхранява, преработва или се разпорежда с дървесина и недървесни горски продукти – общинска собственост. </w:t>
      </w:r>
    </w:p>
    <w:p w14:paraId="62506326">
      <w:pPr>
        <w:pStyle w:val="16"/>
        <w:ind w:firstLine="567"/>
        <w:jc w:val="both"/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(2)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Когато нарушението по ал. 1 е извършено от юридическо лице или едноличен търговец, се налага имуществена санкция в размер от 100лв./51.13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>до 5000 лв./2556,59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/>
        </w:rPr>
        <w:t xml:space="preserve"> eur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</w:rPr>
        <w:t xml:space="preserve">. </w:t>
      </w:r>
    </w:p>
    <w:p w14:paraId="2DD76050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 w:ascii="Times New Roman" w:hAnsi="Times New Roman" w:cs="Times New Roman"/>
          <w:b/>
          <w:bCs w:val="0"/>
          <w:i/>
          <w:iCs/>
          <w:color w:val="auto"/>
          <w:sz w:val="24"/>
          <w:szCs w:val="24"/>
          <w:lang w:val="bg-BG"/>
        </w:rPr>
      </w:pPr>
    </w:p>
    <w:p w14:paraId="0C13E32A">
      <w:pPr>
        <w:keepNext w:val="0"/>
        <w:keepLines w:val="0"/>
        <w:widowControl/>
        <w:suppressLineNumbers w:val="0"/>
        <w:ind w:firstLine="720" w:firstLineChars="0"/>
        <w:jc w:val="both"/>
        <w:rPr>
          <w:rFonts w:hint="default"/>
          <w:lang w:val="bg-BG"/>
        </w:rPr>
      </w:pPr>
      <w:r>
        <w:rPr>
          <w:rFonts w:hint="default"/>
          <w:b/>
          <w:bCs w:val="0"/>
          <w:i/>
          <w:iCs/>
          <w:color w:val="auto"/>
          <w:sz w:val="24"/>
          <w:szCs w:val="24"/>
          <w:lang w:val="bg-BG"/>
        </w:rPr>
        <w:t xml:space="preserve">§6. 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>„Позоваванията на думата „лев“ и нейните производни в текст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овете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на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 xml:space="preserve"> наредбата, незасегнати от измененията, извършени с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настоящата наредба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,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en-US" w:eastAsia="zh-CN" w:bidi="ar"/>
        </w:rPr>
        <w:t xml:space="preserve"> се заменят с думата „евро“ и нейните производни“</w:t>
      </w:r>
      <w:r>
        <w:rPr>
          <w:rFonts w:hint="default" w:ascii="Times New Roman" w:hAnsi="Times New Roman" w:eastAsia="SimSun" w:cs="Times New Roman"/>
          <w:b/>
          <w:bCs w:val="0"/>
          <w:color w:val="000000"/>
          <w:kern w:val="0"/>
          <w:sz w:val="24"/>
          <w:szCs w:val="24"/>
          <w:lang w:val="bg-BG" w:eastAsia="zh-CN" w:bidi="ar"/>
        </w:rPr>
        <w:t>.</w:t>
      </w:r>
    </w:p>
    <w:p w14:paraId="57EB389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275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bg-BG"/>
        </w:rPr>
      </w:pPr>
      <w:r>
        <w:rPr>
          <w:rFonts w:hint="default" w:cs="Times New Roman"/>
          <w:b/>
          <w:sz w:val="24"/>
          <w:szCs w:val="24"/>
          <w:highlight w:val="none"/>
          <w:lang w:val="bg-BG"/>
        </w:rPr>
        <w:t>Преходни и заключителни разпоредби</w:t>
      </w:r>
    </w:p>
    <w:p w14:paraId="55E1ED59">
      <w:pPr>
        <w:spacing w:after="310"/>
        <w:ind w:left="12" w:leftChars="5" w:firstLine="504" w:firstLineChars="210"/>
        <w:jc w:val="both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§1.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Настоящата наредба влиза в сила, считано от 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датата, определена в Решение на Съвета на Европейския съюз за приемането на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еврото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 Република България, прието в съответствие с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"%D1%87%D0%BB140_%D1%822');"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2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, и Регламент на Съвета на Европейския съюз, приет в съответствие с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NavigateDocument('%D0%94%D0%A4%D0%95%D0%A1" \l "%D1%87%D0%BB140_%D1%823');"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чл. 140, параграф 3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 от 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instrText xml:space="preserve"> HYPERLINK "javascript: NavigateDocument('%D0%94%D0%A4%D0%95%D0%A1');" </w:instrTex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separate"/>
      </w:r>
      <w:r>
        <w:rPr>
          <w:rStyle w:val="8"/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t>ДФЕС</w:t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</w:rPr>
        <w:fldChar w:fldCharType="end"/>
      </w:r>
      <w:r>
        <w:rPr>
          <w:rFonts w:hint="default" w:ascii="Times New Roman" w:hAnsi="Times New Roman" w:eastAsia="Tahoma" w:cs="Times New Roman"/>
          <w:b w:val="0"/>
          <w:bCs w:val="0"/>
          <w:i/>
          <w:iCs/>
          <w:caps w:val="0"/>
          <w:color w:val="auto"/>
          <w:spacing w:val="0"/>
          <w:sz w:val="24"/>
          <w:szCs w:val="24"/>
          <w:highlight w:val="none"/>
          <w:u w:val="none"/>
          <w:shd w:val="clear" w:color="auto" w:fill="FFFFFF"/>
          <w:lang w:val="bg-BG"/>
        </w:rPr>
        <w:t>.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 xml:space="preserve"> </w:t>
      </w:r>
      <w:r>
        <w:rPr>
          <w:rFonts w:hint="default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  <w:t>Обозначаването на сумите в лева се прилага до изтичане на периода на двойно обозначаване на цените на стоките и услугите, определен в Закона за въвеждане на еврото в Република България, а след неговото изтичане се прилагат единствено сумите, обозначени в евро.</w:t>
      </w:r>
    </w:p>
    <w:p w14:paraId="64841AAD">
      <w:pPr>
        <w:spacing w:after="310"/>
        <w:ind w:left="12" w:leftChars="5" w:firstLine="504" w:firstLineChars="210"/>
        <w:jc w:val="both"/>
        <w:rPr>
          <w:rFonts w:hint="default" w:ascii="Times New Roman" w:hAnsi="Times New Roman" w:cs="Times New Roman"/>
          <w:b w:val="0"/>
          <w:bCs w:val="0"/>
          <w:i/>
          <w:iCs/>
          <w:color w:val="auto"/>
          <w:sz w:val="24"/>
          <w:szCs w:val="24"/>
          <w:highlight w:val="none"/>
          <w:u w:val="none"/>
          <w:lang w:val="bg-BG"/>
        </w:rPr>
      </w:pPr>
    </w:p>
    <w:p w14:paraId="693374A0">
      <w:pPr>
        <w:jc w:val="center"/>
        <w:rPr>
          <w:rFonts w:hint="default"/>
          <w:b/>
          <w:highlight w:val="none"/>
          <w:lang w:val="bg-BG"/>
        </w:rPr>
      </w:pPr>
    </w:p>
    <w:p w14:paraId="74DE8F51">
      <w:pPr>
        <w:jc w:val="center"/>
        <w:rPr>
          <w:b/>
          <w:highlight w:val="none"/>
        </w:rPr>
      </w:pPr>
    </w:p>
    <w:p w14:paraId="2F24A54A">
      <w:pPr>
        <w:jc w:val="center"/>
        <w:rPr>
          <w:b/>
          <w:highlight w:val="none"/>
        </w:rPr>
      </w:pPr>
    </w:p>
    <w:p w14:paraId="7ABE4368">
      <w:pPr>
        <w:jc w:val="center"/>
        <w:rPr>
          <w:b/>
          <w:highlight w:val="none"/>
        </w:rPr>
      </w:pPr>
    </w:p>
    <w:p w14:paraId="74928127">
      <w:pPr>
        <w:jc w:val="center"/>
        <w:rPr>
          <w:b/>
          <w:highlight w:val="none"/>
        </w:rPr>
      </w:pPr>
    </w:p>
    <w:p w14:paraId="75B51F38">
      <w:pPr>
        <w:jc w:val="center"/>
        <w:rPr>
          <w:b/>
          <w:highlight w:val="none"/>
        </w:rPr>
      </w:pPr>
    </w:p>
    <w:p w14:paraId="12EF3544">
      <w:pPr>
        <w:jc w:val="center"/>
        <w:rPr>
          <w:b/>
          <w:highlight w:val="none"/>
        </w:rPr>
      </w:pPr>
    </w:p>
    <w:p w14:paraId="5750038A">
      <w:pPr>
        <w:jc w:val="center"/>
        <w:rPr>
          <w:b/>
          <w:highlight w:val="none"/>
        </w:rPr>
      </w:pPr>
    </w:p>
    <w:p w14:paraId="51AC305D">
      <w:pPr>
        <w:jc w:val="center"/>
        <w:rPr>
          <w:b/>
          <w:highlight w:val="none"/>
        </w:rPr>
      </w:pPr>
    </w:p>
    <w:p w14:paraId="632AEC1B">
      <w:pPr>
        <w:jc w:val="center"/>
        <w:rPr>
          <w:b/>
          <w:highlight w:val="none"/>
        </w:rPr>
      </w:pPr>
    </w:p>
    <w:p w14:paraId="350765D5">
      <w:pPr>
        <w:jc w:val="center"/>
        <w:rPr>
          <w:b/>
          <w:highlight w:val="none"/>
        </w:rPr>
      </w:pPr>
    </w:p>
    <w:p w14:paraId="53EA9E55">
      <w:pPr>
        <w:jc w:val="center"/>
        <w:rPr>
          <w:b/>
          <w:highlight w:val="none"/>
        </w:rPr>
      </w:pPr>
    </w:p>
    <w:p w14:paraId="5D398533">
      <w:pPr>
        <w:jc w:val="center"/>
        <w:rPr>
          <w:b/>
          <w:highlight w:val="none"/>
        </w:rPr>
      </w:pPr>
    </w:p>
    <w:p w14:paraId="1AF8D3F3">
      <w:pPr>
        <w:jc w:val="center"/>
        <w:rPr>
          <w:b/>
          <w:highlight w:val="none"/>
        </w:rPr>
      </w:pPr>
    </w:p>
    <w:p w14:paraId="41E02CC0">
      <w:pPr>
        <w:jc w:val="center"/>
        <w:rPr>
          <w:b/>
          <w:highlight w:val="none"/>
        </w:rPr>
      </w:pPr>
    </w:p>
    <w:p w14:paraId="54B632AF">
      <w:pPr>
        <w:jc w:val="center"/>
        <w:rPr>
          <w:b/>
          <w:highlight w:val="none"/>
        </w:rPr>
      </w:pPr>
    </w:p>
    <w:p w14:paraId="045090C0">
      <w:pPr>
        <w:jc w:val="center"/>
        <w:rPr>
          <w:b/>
          <w:highlight w:val="none"/>
        </w:rPr>
      </w:pPr>
    </w:p>
    <w:p w14:paraId="535C9156">
      <w:pPr>
        <w:jc w:val="center"/>
        <w:rPr>
          <w:b/>
          <w:highlight w:val="none"/>
        </w:rPr>
      </w:pPr>
    </w:p>
    <w:p w14:paraId="6C977DE1">
      <w:pPr>
        <w:jc w:val="center"/>
        <w:rPr>
          <w:b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4630DA4"/>
    <w:rsid w:val="08040590"/>
    <w:rsid w:val="090F576C"/>
    <w:rsid w:val="0AD255FB"/>
    <w:rsid w:val="0B8A164B"/>
    <w:rsid w:val="0D193C59"/>
    <w:rsid w:val="101A2EB0"/>
    <w:rsid w:val="104072BA"/>
    <w:rsid w:val="12B92E86"/>
    <w:rsid w:val="13404638"/>
    <w:rsid w:val="134D31B8"/>
    <w:rsid w:val="15102B4A"/>
    <w:rsid w:val="159E665F"/>
    <w:rsid w:val="17D13AD5"/>
    <w:rsid w:val="18D9445C"/>
    <w:rsid w:val="1D83621D"/>
    <w:rsid w:val="1EF42755"/>
    <w:rsid w:val="213110FE"/>
    <w:rsid w:val="22667B7E"/>
    <w:rsid w:val="24407726"/>
    <w:rsid w:val="26F50B46"/>
    <w:rsid w:val="2DD85A78"/>
    <w:rsid w:val="2E412CAC"/>
    <w:rsid w:val="2FEE3628"/>
    <w:rsid w:val="31900060"/>
    <w:rsid w:val="345028D5"/>
    <w:rsid w:val="346C040E"/>
    <w:rsid w:val="357D3633"/>
    <w:rsid w:val="360C593C"/>
    <w:rsid w:val="375E189F"/>
    <w:rsid w:val="3CE626B3"/>
    <w:rsid w:val="424E4805"/>
    <w:rsid w:val="432E509D"/>
    <w:rsid w:val="463D603F"/>
    <w:rsid w:val="47904979"/>
    <w:rsid w:val="4BEF08FA"/>
    <w:rsid w:val="4D7B7DB5"/>
    <w:rsid w:val="4DEE4F14"/>
    <w:rsid w:val="4E244E42"/>
    <w:rsid w:val="4FEA20D5"/>
    <w:rsid w:val="5217603C"/>
    <w:rsid w:val="530E392A"/>
    <w:rsid w:val="5479197D"/>
    <w:rsid w:val="550D61C3"/>
    <w:rsid w:val="550F5D1A"/>
    <w:rsid w:val="5812067F"/>
    <w:rsid w:val="5AD1345A"/>
    <w:rsid w:val="5E0C5358"/>
    <w:rsid w:val="5F332BBC"/>
    <w:rsid w:val="618B1C58"/>
    <w:rsid w:val="64246FC7"/>
    <w:rsid w:val="65F8295A"/>
    <w:rsid w:val="6C0E4753"/>
    <w:rsid w:val="6C1B11DE"/>
    <w:rsid w:val="6C51676E"/>
    <w:rsid w:val="6C5F4FE0"/>
    <w:rsid w:val="6CCE0DA4"/>
    <w:rsid w:val="6E9665D0"/>
    <w:rsid w:val="6ECA4FB0"/>
    <w:rsid w:val="758170A7"/>
    <w:rsid w:val="75AC5951"/>
    <w:rsid w:val="77884111"/>
    <w:rsid w:val="794153E1"/>
    <w:rsid w:val="794B5460"/>
    <w:rsid w:val="7F1464E3"/>
    <w:rsid w:val="7F3479DE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qFormat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2025-10-21T08:56:33Z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C9529D576B99468C82C566B4D51F59FF_13</vt:lpwstr>
  </property>
</Properties>
</file>